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2022/123028</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Eğitim ve Araştırma Hastanesi-Şişli Hamidiye Etfal SAĞLIK BAKANLIĞI BAKAN YARDIMCILIKLARI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Hastane Bilgi Yönetim Sistemi(HBYS) Yazılım Programının 9 Aylık Kullanım, Bakım, Onarım ve Destek Hizmeti Alımı</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Eğitim ve Araştırma Hastanesi-Şişli Hamidiye Etfal SAĞLIK BAKANLIĞI BAKAN YARDIMCILIKLARI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